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47CE" w:rsidRDefault="00BE51EC" w:rsidP="008247CE">
      <w:pPr>
        <w:rPr>
          <w:b/>
          <w:color w:val="000000"/>
          <w:sz w:val="24"/>
          <w:szCs w:val="24"/>
          <w:u w:val="single"/>
          <w:bdr w:val="none" w:sz="0" w:space="0" w:color="auto" w:frame="1"/>
        </w:rPr>
      </w:pPr>
      <w:r>
        <w:rPr>
          <w:noProof/>
          <w:color w:val="000000"/>
          <w:sz w:val="27"/>
          <w:szCs w:val="27"/>
          <w:bdr w:val="none" w:sz="0" w:space="0" w:color="auto" w:frame="1"/>
        </w:rPr>
        <w:drawing>
          <wp:anchor distT="0" distB="0" distL="114300" distR="114300" simplePos="0" relativeHeight="251658240" behindDoc="1" locked="0" layoutInCell="1" allowOverlap="1">
            <wp:simplePos x="0" y="0"/>
            <wp:positionH relativeFrom="column">
              <wp:posOffset>-76200</wp:posOffset>
            </wp:positionH>
            <wp:positionV relativeFrom="paragraph">
              <wp:posOffset>-457200</wp:posOffset>
            </wp:positionV>
            <wp:extent cx="2352675" cy="120015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PF 2022 - K.jpg"/>
                    <pic:cNvPicPr/>
                  </pic:nvPicPr>
                  <pic:blipFill rotWithShape="1">
                    <a:blip r:embed="rId4">
                      <a:extLst>
                        <a:ext uri="{28A0092B-C50C-407E-A947-70E740481C1C}">
                          <a14:useLocalDpi xmlns:a14="http://schemas.microsoft.com/office/drawing/2010/main" val="0"/>
                        </a:ext>
                      </a:extLst>
                    </a:blip>
                    <a:srcRect t="22769" b="38461"/>
                    <a:stretch/>
                  </pic:blipFill>
                  <pic:spPr bwMode="auto">
                    <a:xfrm>
                      <a:off x="0" y="0"/>
                      <a:ext cx="2352675" cy="1200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247CE" w:rsidRDefault="008247CE" w:rsidP="008247CE">
      <w:pPr>
        <w:rPr>
          <w:b/>
          <w:color w:val="000000"/>
          <w:sz w:val="24"/>
          <w:szCs w:val="24"/>
          <w:u w:val="single"/>
          <w:bdr w:val="none" w:sz="0" w:space="0" w:color="auto" w:frame="1"/>
        </w:rPr>
      </w:pPr>
    </w:p>
    <w:p w:rsidR="008247CE" w:rsidRDefault="008247CE" w:rsidP="008247CE">
      <w:pPr>
        <w:rPr>
          <w:b/>
          <w:color w:val="000000"/>
          <w:sz w:val="24"/>
          <w:szCs w:val="24"/>
          <w:u w:val="single"/>
          <w:bdr w:val="none" w:sz="0" w:space="0" w:color="auto" w:frame="1"/>
        </w:rPr>
      </w:pPr>
    </w:p>
    <w:p w:rsidR="008247CE" w:rsidRDefault="008247CE" w:rsidP="008247CE">
      <w:pPr>
        <w:rPr>
          <w:b/>
          <w:color w:val="000000"/>
          <w:sz w:val="24"/>
          <w:szCs w:val="24"/>
          <w:u w:val="single"/>
          <w:bdr w:val="none" w:sz="0" w:space="0" w:color="auto" w:frame="1"/>
        </w:rPr>
      </w:pPr>
    </w:p>
    <w:p w:rsidR="008247CE" w:rsidRPr="000A058C" w:rsidRDefault="008247CE" w:rsidP="008247CE">
      <w:pPr>
        <w:rPr>
          <w:rFonts w:cstheme="minorHAnsi"/>
          <w:b/>
          <w:color w:val="000000"/>
          <w:sz w:val="28"/>
          <w:szCs w:val="28"/>
          <w:u w:val="single"/>
          <w:bdr w:val="none" w:sz="0" w:space="0" w:color="auto" w:frame="1"/>
        </w:rPr>
      </w:pPr>
      <w:r w:rsidRPr="000A058C">
        <w:rPr>
          <w:rFonts w:cstheme="minorHAnsi"/>
          <w:b/>
          <w:color w:val="000000"/>
          <w:sz w:val="28"/>
          <w:szCs w:val="28"/>
          <w:u w:val="single"/>
          <w:bdr w:val="none" w:sz="0" w:space="0" w:color="auto" w:frame="1"/>
        </w:rPr>
        <w:t>Pre-Commitment Weekend Flocknote/Letter</w:t>
      </w:r>
    </w:p>
    <w:p w:rsidR="008247CE" w:rsidRPr="000A058C" w:rsidRDefault="008247CE" w:rsidP="008247CE">
      <w:pPr>
        <w:rPr>
          <w:rFonts w:cstheme="minorHAnsi"/>
          <w:b/>
          <w:color w:val="000000"/>
          <w:sz w:val="28"/>
          <w:szCs w:val="28"/>
          <w:u w:val="single"/>
          <w:bdr w:val="none" w:sz="0" w:space="0" w:color="auto" w:frame="1"/>
        </w:rPr>
      </w:pPr>
    </w:p>
    <w:p w:rsidR="00B36B96" w:rsidRPr="000A058C" w:rsidRDefault="00B36B96" w:rsidP="00B36B96">
      <w:pPr>
        <w:tabs>
          <w:tab w:val="left" w:pos="0"/>
        </w:tabs>
        <w:suppressAutoHyphens/>
        <w:rPr>
          <w:rFonts w:cstheme="minorHAnsi"/>
          <w:sz w:val="28"/>
          <w:szCs w:val="28"/>
        </w:rPr>
      </w:pPr>
      <w:r w:rsidRPr="000A058C">
        <w:rPr>
          <w:rFonts w:cstheme="minorHAnsi"/>
          <w:sz w:val="28"/>
          <w:szCs w:val="28"/>
        </w:rPr>
        <w:t xml:space="preserve">As Catholics who embrace our faith, we constantly strive to answer Jesus’ call, echoed by our Holy Father, to be missionary disciples and to seek to be lights brightly visible within our own communities. Whether our faith in the Living Christ is carrying us through times we celebrate or those that challenge us, we commit to caring for our neighbors in need as Our Lord repeatedly and plainly asks. </w:t>
      </w:r>
    </w:p>
    <w:p w:rsidR="00B36B96" w:rsidRPr="000A058C" w:rsidRDefault="00B36B96" w:rsidP="00B36B96">
      <w:pPr>
        <w:tabs>
          <w:tab w:val="left" w:pos="0"/>
        </w:tabs>
        <w:suppressAutoHyphens/>
        <w:rPr>
          <w:rFonts w:cstheme="minorHAnsi"/>
          <w:sz w:val="28"/>
          <w:szCs w:val="28"/>
        </w:rPr>
      </w:pPr>
    </w:p>
    <w:p w:rsidR="00B36B96" w:rsidRPr="000A058C" w:rsidRDefault="00B36B96" w:rsidP="00B36B96">
      <w:pPr>
        <w:tabs>
          <w:tab w:val="left" w:pos="0"/>
        </w:tabs>
        <w:suppressAutoHyphens/>
        <w:rPr>
          <w:rFonts w:cstheme="minorHAnsi"/>
          <w:sz w:val="28"/>
          <w:szCs w:val="28"/>
        </w:rPr>
      </w:pPr>
      <w:r w:rsidRPr="000A058C">
        <w:rPr>
          <w:rFonts w:cstheme="minorHAnsi"/>
          <w:sz w:val="28"/>
          <w:szCs w:val="28"/>
        </w:rPr>
        <w:t xml:space="preserve">Each fall, as a parish community, we embrace a season of giving and come together as a unified people to help strengthen our parish, its ministries, and charitable outreach efforts, by pledging our support for weekly Offertory. We cannot accomplish all that Our Lord asks of us as missionary disciples without first pooling our collective resources so that we can maximize their beneficial impact. It is an awkward reality to have to state, but our parish operations and good works, upon which so many in our community rely, depend on our Offertory program and your support of it.  </w:t>
      </w:r>
    </w:p>
    <w:p w:rsidR="00B36B96" w:rsidRPr="000A058C" w:rsidRDefault="00B36B96" w:rsidP="00B36B96">
      <w:pPr>
        <w:tabs>
          <w:tab w:val="left" w:pos="0"/>
        </w:tabs>
        <w:suppressAutoHyphens/>
        <w:rPr>
          <w:rFonts w:cstheme="minorHAnsi"/>
          <w:sz w:val="28"/>
          <w:szCs w:val="28"/>
        </w:rPr>
      </w:pPr>
    </w:p>
    <w:p w:rsidR="008247CE" w:rsidRPr="000A058C" w:rsidRDefault="008247CE" w:rsidP="008247CE">
      <w:pPr>
        <w:pStyle w:val="font8"/>
        <w:spacing w:before="0" w:beforeAutospacing="0" w:after="0" w:afterAutospacing="0"/>
        <w:textAlignment w:val="baseline"/>
        <w:rPr>
          <w:rFonts w:asciiTheme="minorHAnsi" w:hAnsiTheme="minorHAnsi" w:cstheme="minorHAnsi"/>
          <w:color w:val="000000"/>
          <w:sz w:val="28"/>
          <w:szCs w:val="28"/>
          <w:bdr w:val="none" w:sz="0" w:space="0" w:color="auto" w:frame="1"/>
        </w:rPr>
      </w:pPr>
      <w:r w:rsidRPr="000A058C">
        <w:rPr>
          <w:rFonts w:asciiTheme="minorHAnsi" w:hAnsiTheme="minorHAnsi" w:cstheme="minorHAnsi"/>
          <w:color w:val="000000"/>
          <w:sz w:val="28"/>
          <w:szCs w:val="28"/>
          <w:bdr w:val="none" w:sz="0" w:space="0" w:color="auto" w:frame="1"/>
        </w:rPr>
        <w:t>Thank yo</w:t>
      </w:r>
      <w:bookmarkStart w:id="0" w:name="_GoBack"/>
      <w:bookmarkEnd w:id="0"/>
      <w:r w:rsidRPr="000A058C">
        <w:rPr>
          <w:rFonts w:asciiTheme="minorHAnsi" w:hAnsiTheme="minorHAnsi" w:cstheme="minorHAnsi"/>
          <w:color w:val="000000"/>
          <w:sz w:val="28"/>
          <w:szCs w:val="28"/>
          <w:bdr w:val="none" w:sz="0" w:space="0" w:color="auto" w:frame="1"/>
        </w:rPr>
        <w:t xml:space="preserve">u for taking some time last weekend to learn about how your ongoing generosity makes such a positive impact here at our parish.  </w:t>
      </w:r>
      <w:r w:rsidR="00B36B96" w:rsidRPr="000A058C">
        <w:rPr>
          <w:rFonts w:asciiTheme="minorHAnsi" w:hAnsiTheme="minorHAnsi" w:cstheme="minorHAnsi"/>
          <w:color w:val="000000"/>
          <w:sz w:val="28"/>
          <w:szCs w:val="28"/>
          <w:bdr w:val="none" w:sz="0" w:space="0" w:color="auto" w:frame="1"/>
        </w:rPr>
        <w:t xml:space="preserve"> </w:t>
      </w:r>
    </w:p>
    <w:p w:rsidR="008247CE" w:rsidRPr="000A058C" w:rsidRDefault="008247CE" w:rsidP="008247CE">
      <w:pPr>
        <w:pStyle w:val="font8"/>
        <w:spacing w:before="0" w:beforeAutospacing="0" w:after="0" w:afterAutospacing="0"/>
        <w:textAlignment w:val="baseline"/>
        <w:rPr>
          <w:rFonts w:asciiTheme="minorHAnsi" w:hAnsiTheme="minorHAnsi" w:cstheme="minorHAnsi"/>
          <w:color w:val="000000"/>
          <w:sz w:val="28"/>
          <w:szCs w:val="28"/>
          <w:bdr w:val="none" w:sz="0" w:space="0" w:color="auto" w:frame="1"/>
        </w:rPr>
      </w:pPr>
    </w:p>
    <w:p w:rsidR="008247CE" w:rsidRPr="000A058C" w:rsidRDefault="008247CE" w:rsidP="008247CE">
      <w:pPr>
        <w:pStyle w:val="font8"/>
        <w:spacing w:before="0" w:beforeAutospacing="0" w:after="0" w:afterAutospacing="0"/>
        <w:textAlignment w:val="baseline"/>
        <w:rPr>
          <w:rFonts w:asciiTheme="minorHAnsi" w:hAnsiTheme="minorHAnsi" w:cstheme="minorHAnsi"/>
          <w:color w:val="000000"/>
          <w:sz w:val="28"/>
          <w:szCs w:val="28"/>
          <w:bdr w:val="none" w:sz="0" w:space="0" w:color="auto" w:frame="1"/>
        </w:rPr>
      </w:pPr>
      <w:r w:rsidRPr="000A058C">
        <w:rPr>
          <w:rFonts w:asciiTheme="minorHAnsi" w:hAnsiTheme="minorHAnsi" w:cstheme="minorHAnsi"/>
          <w:color w:val="000000"/>
          <w:sz w:val="28"/>
          <w:szCs w:val="28"/>
          <w:bdr w:val="none" w:sz="0" w:space="0" w:color="auto" w:frame="1"/>
        </w:rPr>
        <w:t xml:space="preserve">As you plan for this upcoming </w:t>
      </w:r>
      <w:r w:rsidR="00B36B96" w:rsidRPr="000A058C">
        <w:rPr>
          <w:rFonts w:asciiTheme="minorHAnsi" w:hAnsiTheme="minorHAnsi" w:cstheme="minorHAnsi"/>
          <w:color w:val="000000"/>
          <w:sz w:val="28"/>
          <w:szCs w:val="28"/>
          <w:bdr w:val="none" w:sz="0" w:space="0" w:color="auto" w:frame="1"/>
        </w:rPr>
        <w:t>Stewardship Commitment W</w:t>
      </w:r>
      <w:r w:rsidRPr="000A058C">
        <w:rPr>
          <w:rFonts w:asciiTheme="minorHAnsi" w:hAnsiTheme="minorHAnsi" w:cstheme="minorHAnsi"/>
          <w:color w:val="000000"/>
          <w:sz w:val="28"/>
          <w:szCs w:val="28"/>
          <w:bdr w:val="none" w:sz="0" w:space="0" w:color="auto" w:frame="1"/>
        </w:rPr>
        <w:t xml:space="preserve">eekend, please prayerfully consider how you will join me on </w:t>
      </w:r>
      <w:r w:rsidR="00B36B96" w:rsidRPr="000A058C">
        <w:rPr>
          <w:rFonts w:asciiTheme="minorHAnsi" w:hAnsiTheme="minorHAnsi" w:cstheme="minorHAnsi"/>
          <w:i/>
          <w:color w:val="000000"/>
          <w:sz w:val="28"/>
          <w:szCs w:val="28"/>
          <w:bdr w:val="none" w:sz="0" w:space="0" w:color="auto" w:frame="1"/>
        </w:rPr>
        <w:t xml:space="preserve">Our Path Forward </w:t>
      </w:r>
      <w:r w:rsidRPr="000A058C">
        <w:rPr>
          <w:rFonts w:asciiTheme="minorHAnsi" w:hAnsiTheme="minorHAnsi" w:cstheme="minorHAnsi"/>
          <w:color w:val="000000"/>
          <w:sz w:val="28"/>
          <w:szCs w:val="28"/>
          <w:bdr w:val="none" w:sz="0" w:space="0" w:color="auto" w:frame="1"/>
        </w:rPr>
        <w:t>by determining what your level of financial support will be over the next year and be prepared to make your commitment.  Whether you are making a new gift, increasing your recurring online gift, or preparing to contribute to our established interest-bearing endowment fund that grows and sustains our parish well into the future, know I am grateful for any contribution you are able to make.</w:t>
      </w:r>
    </w:p>
    <w:p w:rsidR="008247CE" w:rsidRPr="000A058C" w:rsidRDefault="008247CE" w:rsidP="008247CE">
      <w:pPr>
        <w:pStyle w:val="font8"/>
        <w:spacing w:before="0" w:beforeAutospacing="0" w:after="0" w:afterAutospacing="0"/>
        <w:textAlignment w:val="baseline"/>
        <w:rPr>
          <w:rFonts w:asciiTheme="minorHAnsi" w:hAnsiTheme="minorHAnsi" w:cstheme="minorHAnsi"/>
          <w:sz w:val="28"/>
          <w:szCs w:val="28"/>
        </w:rPr>
      </w:pPr>
      <w:r w:rsidRPr="000A058C">
        <w:rPr>
          <w:rFonts w:asciiTheme="minorHAnsi" w:hAnsiTheme="minorHAnsi" w:cstheme="minorHAnsi"/>
          <w:sz w:val="28"/>
          <w:szCs w:val="28"/>
        </w:rPr>
        <w:t> </w:t>
      </w:r>
    </w:p>
    <w:p w:rsidR="008247CE" w:rsidRPr="000A058C" w:rsidRDefault="008247CE" w:rsidP="008247CE">
      <w:pPr>
        <w:pStyle w:val="font8"/>
        <w:spacing w:before="0" w:beforeAutospacing="0" w:after="0" w:afterAutospacing="0"/>
        <w:textAlignment w:val="baseline"/>
        <w:rPr>
          <w:rFonts w:asciiTheme="minorHAnsi" w:hAnsiTheme="minorHAnsi" w:cstheme="minorHAnsi"/>
          <w:color w:val="000000"/>
          <w:sz w:val="28"/>
          <w:szCs w:val="28"/>
          <w:bdr w:val="none" w:sz="0" w:space="0" w:color="auto" w:frame="1"/>
        </w:rPr>
      </w:pPr>
      <w:r w:rsidRPr="000A058C">
        <w:rPr>
          <w:rFonts w:asciiTheme="minorHAnsi" w:hAnsiTheme="minorHAnsi" w:cstheme="minorHAnsi"/>
          <w:color w:val="000000"/>
          <w:sz w:val="28"/>
          <w:szCs w:val="28"/>
          <w:bdr w:val="none" w:sz="0" w:space="0" w:color="auto" w:frame="1"/>
        </w:rPr>
        <w:t>You may log onto </w:t>
      </w:r>
      <w:hyperlink r:id="rId5" w:tgtFrame="_blank" w:history="1">
        <w:r w:rsidRPr="000A058C">
          <w:rPr>
            <w:rStyle w:val="Hyperlink"/>
            <w:rFonts w:asciiTheme="minorHAnsi" w:hAnsiTheme="minorHAnsi" w:cstheme="minorHAnsi"/>
            <w:color w:val="FF0000"/>
            <w:sz w:val="28"/>
            <w:szCs w:val="28"/>
            <w:bdr w:val="none" w:sz="0" w:space="0" w:color="auto" w:frame="1"/>
          </w:rPr>
          <w:t>www.opfaob.com</w:t>
        </w:r>
      </w:hyperlink>
      <w:r w:rsidRPr="000A058C">
        <w:rPr>
          <w:rFonts w:asciiTheme="minorHAnsi" w:hAnsiTheme="minorHAnsi" w:cstheme="minorHAnsi"/>
          <w:color w:val="000000"/>
          <w:sz w:val="28"/>
          <w:szCs w:val="28"/>
          <w:bdr w:val="none" w:sz="0" w:space="0" w:color="auto" w:frame="1"/>
        </w:rPr>
        <w:t xml:space="preserve"> to support our offertory and to contribute to our established endowment fund. </w:t>
      </w:r>
    </w:p>
    <w:p w:rsidR="008247CE" w:rsidRPr="000A058C" w:rsidRDefault="008247CE" w:rsidP="008247CE">
      <w:pPr>
        <w:pStyle w:val="font8"/>
        <w:spacing w:before="0" w:beforeAutospacing="0" w:after="0" w:afterAutospacing="0"/>
        <w:textAlignment w:val="baseline"/>
        <w:rPr>
          <w:rFonts w:asciiTheme="minorHAnsi" w:hAnsiTheme="minorHAnsi" w:cstheme="minorHAnsi"/>
          <w:color w:val="000000"/>
          <w:sz w:val="28"/>
          <w:szCs w:val="28"/>
          <w:bdr w:val="none" w:sz="0" w:space="0" w:color="auto" w:frame="1"/>
        </w:rPr>
      </w:pPr>
    </w:p>
    <w:p w:rsidR="008247CE" w:rsidRPr="000A058C" w:rsidRDefault="008247CE" w:rsidP="008247CE">
      <w:pPr>
        <w:pStyle w:val="font8"/>
        <w:spacing w:before="0" w:beforeAutospacing="0" w:after="0" w:afterAutospacing="0"/>
        <w:textAlignment w:val="baseline"/>
        <w:rPr>
          <w:rFonts w:asciiTheme="minorHAnsi" w:hAnsiTheme="minorHAnsi" w:cstheme="minorHAnsi"/>
          <w:color w:val="000000"/>
          <w:sz w:val="28"/>
          <w:szCs w:val="28"/>
          <w:bdr w:val="none" w:sz="0" w:space="0" w:color="auto" w:frame="1"/>
        </w:rPr>
      </w:pPr>
      <w:r w:rsidRPr="000A058C">
        <w:rPr>
          <w:rFonts w:asciiTheme="minorHAnsi" w:hAnsiTheme="minorHAnsi" w:cstheme="minorHAnsi"/>
          <w:color w:val="000000"/>
          <w:sz w:val="28"/>
          <w:szCs w:val="28"/>
          <w:bdr w:val="none" w:sz="0" w:space="0" w:color="auto" w:frame="1"/>
        </w:rPr>
        <w:t>Thank you!</w:t>
      </w:r>
    </w:p>
    <w:p w:rsidR="008247CE" w:rsidRPr="000A058C" w:rsidRDefault="008247CE">
      <w:pPr>
        <w:rPr>
          <w:rFonts w:cstheme="minorHAnsi"/>
          <w:sz w:val="28"/>
          <w:szCs w:val="28"/>
        </w:rPr>
      </w:pPr>
    </w:p>
    <w:p w:rsidR="008247CE" w:rsidRPr="000A058C" w:rsidRDefault="008247CE">
      <w:pPr>
        <w:rPr>
          <w:rFonts w:cstheme="minorHAnsi"/>
          <w:sz w:val="28"/>
          <w:szCs w:val="28"/>
        </w:rPr>
      </w:pPr>
    </w:p>
    <w:sectPr w:rsidR="008247CE" w:rsidRPr="000A05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7CE"/>
    <w:rsid w:val="000A058C"/>
    <w:rsid w:val="007E162A"/>
    <w:rsid w:val="008247CE"/>
    <w:rsid w:val="00B36B96"/>
    <w:rsid w:val="00BE51EC"/>
    <w:rsid w:val="00D25D29"/>
    <w:rsid w:val="00DC480B"/>
    <w:rsid w:val="00F630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D03E1B-7EBC-4AA3-9F3D-CFC10541D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7CE"/>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8247CE"/>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247C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0928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opfaob.com/"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279</Words>
  <Characters>1594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AOB</Company>
  <LinksUpToDate>false</LinksUpToDate>
  <CharactersWithSpaces>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Talcott, Mark</dc:creator>
  <cp:keywords/>
  <dc:description/>
  <cp:lastModifiedBy>Montgomery, Kim</cp:lastModifiedBy>
  <cp:revision>5</cp:revision>
  <dcterms:created xsi:type="dcterms:W3CDTF">2022-08-05T15:54:00Z</dcterms:created>
  <dcterms:modified xsi:type="dcterms:W3CDTF">2022-08-25T08:34:00Z</dcterms:modified>
</cp:coreProperties>
</file>